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Arial" w:hAnsi="Arial"/>
          <w:b/>
          <w:sz w:val="42"/>
        </w:rPr>
        <w:t>СОГЛАСИЕ НА ОБРАБОТКУ ПЕРСОНАЛЬНЫХ ДАННЫХ</w:t>
      </w:r>
    </w:p>
    <w:p>
      <w:pPr>
        <w:jc w:val="center"/>
      </w:pPr>
      <w:r>
        <w:rPr>
          <w:rFonts w:ascii="Arial" w:hAnsi="Arial"/>
          <w:color w:val="505050"/>
          <w:sz w:val="23"/>
        </w:rPr>
        <w:t>Отдельное согласие пользователя сайта и клиента MASTERPEACE</w:t>
      </w:r>
    </w:p>
    <w:p>
      <w:pPr>
        <w:spacing w:before="360"/>
        <w:jc w:val="center"/>
      </w:pPr>
      <w:r>
        <w:rPr>
          <w:rFonts w:ascii="Arial" w:hAnsi="Arial"/>
          <w:b/>
          <w:sz w:val="26"/>
        </w:rPr>
        <w:t>MASTERPEACE</w:t>
      </w:r>
    </w:p>
    <w:p>
      <w:pPr>
        <w:pStyle w:val="Note"/>
        <w:spacing w:before="480"/>
        <w:jc w:val="center"/>
      </w:pPr>
      <w:r>
        <w:t>Рабочая редакция от 16 июля 2026 года. Перед публикацией документ рекомендуется проверить у профильного юриста и сверить с фактической архитектурой сайта и используемыми сервисами.</w:t>
      </w:r>
    </w:p>
    <w:p>
      <w:r>
        <w:br w:type="page"/>
      </w:r>
    </w:p>
    <w:p>
      <w:pPr>
        <w:pStyle w:val="Heading1"/>
      </w:pPr>
      <w:r>
        <w:t>1. Субъект и Оператор</w:t>
      </w:r>
    </w:p>
    <w:p>
      <w:r>
        <w:rPr>
          <w:b/>
        </w:rPr>
        <w:t xml:space="preserve">1.1. </w:t>
      </w:r>
      <w:r>
        <w:t>Настоящим пользователь сайта masterpeace.ru, Покупатель, Получатель, заявитель или клиент, совершающий подтверждающее действие в соответствующей форме (далее — Субъект), свободно, своей волей и в своем интересе дает согласие Индивидуальный предприниматель Линович Евгения Семеновна, ИНН 774392655221, ОГРНИП 310774620000835, адрес: 125252, г. Москва, ул. 2-я Песчаная, д. 4, кв. 102 (далее — Оператор), на обработку персональных данных на условиях настоящего Согласия.</w:t>
      </w:r>
    </w:p>
    <w:p>
      <w:r>
        <w:rPr>
          <w:b/>
        </w:rPr>
        <w:t xml:space="preserve">1.2. </w:t>
      </w:r>
      <w:r>
        <w:t>Согласие оформляется отдельно от публичной оферты, Политики обработки персональных данных, согласия на рекламную рассылку и иных документов. Электронная отметка в незаполненном по умолчанию поле, нажатие отдельной кнопки либо иной фиксируемый способ считается аналогом собственноручного волеизъявления в случаях, допускаемых законом.</w:t>
      </w:r>
    </w:p>
    <w:p>
      <w:pPr>
        <w:pStyle w:val="Heading1"/>
      </w:pPr>
      <w:r>
        <w:t>2. Цели обработки</w:t>
      </w:r>
    </w:p>
    <w:p>
      <w:r>
        <w:rPr>
          <w:b/>
        </w:rPr>
        <w:t xml:space="preserve">2.1. </w:t>
      </w:r>
      <w:r>
        <w:t>Согласие предоставляется для одной или нескольких целей, непосредственно указанных рядом с формой, в которой оно запрашивается:</w:t>
      </w:r>
    </w:p>
    <w:p>
      <w:pPr>
        <w:pStyle w:val="ListNumber"/>
      </w:pPr>
      <w:r>
        <w:t>создание и использование личного кабинета;</w:t>
      </w:r>
    </w:p>
    <w:p>
      <w:pPr>
        <w:pStyle w:val="ListNumber"/>
      </w:pPr>
      <w:r>
        <w:t>обработка обращения, обратный звонок, консультация, подбор размера, бронирование и запись на примерку;</w:t>
      </w:r>
    </w:p>
    <w:p>
      <w:pPr>
        <w:pStyle w:val="ListNumber"/>
      </w:pPr>
      <w:r>
        <w:t>оформление, подтверждение и исполнение заказа, включая предзаказ и изготовление по согласованным характеристикам;</w:t>
      </w:r>
    </w:p>
    <w:p>
      <w:pPr>
        <w:pStyle w:val="ListNumber"/>
      </w:pPr>
      <w:r>
        <w:t>организация оплаты, доставки, самовывоза и передачи электронного кассового чека;</w:t>
      </w:r>
    </w:p>
    <w:p>
      <w:pPr>
        <w:pStyle w:val="ListNumber"/>
      </w:pPr>
      <w:r>
        <w:t>обработка возврата, претензии, гарантийного требования, ремонта или корректировки изделия;</w:t>
      </w:r>
    </w:p>
    <w:p>
      <w:pPr>
        <w:pStyle w:val="ListNumber"/>
      </w:pPr>
      <w:r>
        <w:t>участие в программе лояльности и использование подарочного сертификата;</w:t>
      </w:r>
    </w:p>
    <w:p>
      <w:pPr>
        <w:pStyle w:val="ListNumber"/>
      </w:pPr>
      <w:r>
        <w:t>обеспечение безопасности, предотвращение неправомерных операций и подтверждение договоренностей;</w:t>
      </w:r>
    </w:p>
    <w:p>
      <w:pPr>
        <w:pStyle w:val="ListNumber"/>
      </w:pPr>
      <w:r>
        <w:t>ведение и анализ качества клиентского обслуживания, включая запись телефонного разговора после уведомления о записи.</w:t>
      </w:r>
    </w:p>
    <w:p>
      <w:r>
        <w:rPr>
          <w:b/>
        </w:rPr>
        <w:t xml:space="preserve">2.2. </w:t>
      </w:r>
      <w:r>
        <w:t>Рекламные сообщения и персонализированные маркетинговые предложения не входят в настоящее Согласие и требуют отдельного согласия на рекламную рассылку.</w:t>
      </w:r>
    </w:p>
    <w:p>
      <w:pPr>
        <w:pStyle w:val="Heading1"/>
      </w:pPr>
      <w:r>
        <w:t>3. Перечень персональных данных</w:t>
      </w:r>
    </w:p>
    <w:p>
      <w:r>
        <w:rPr>
          <w:b/>
        </w:rPr>
        <w:t xml:space="preserve">3.1. </w:t>
      </w:r>
      <w:r>
        <w:t>В зависимости от выбранной формы и цели Оператор вправе обрабатывать только необходимые из следующих данных:</w:t>
      </w:r>
    </w:p>
    <w:p>
      <w:pPr>
        <w:pStyle w:val="ListBullet"/>
      </w:pPr>
      <w:r>
        <w:t>фамилия, имя, отчество при наличии;</w:t>
      </w:r>
    </w:p>
    <w:p>
      <w:pPr>
        <w:pStyle w:val="ListBullet"/>
      </w:pPr>
      <w:r>
        <w:t>номер телефона, адрес электронной почты и идентификатор в выбранном мессенджере;</w:t>
      </w:r>
    </w:p>
    <w:p>
      <w:pPr>
        <w:pStyle w:val="ListBullet"/>
      </w:pPr>
      <w:r>
        <w:t>адрес доставки, сведения о Получателе и удобном времени связи;</w:t>
      </w:r>
    </w:p>
    <w:p>
      <w:pPr>
        <w:pStyle w:val="ListBullet"/>
      </w:pPr>
      <w:r>
        <w:t>данные личного кабинета, история заказов, возвратов, бронирований, обращений и программа лояльности;</w:t>
      </w:r>
    </w:p>
    <w:p>
      <w:pPr>
        <w:pStyle w:val="ListBullet"/>
      </w:pPr>
      <w:r>
        <w:t>сведения о выбранных товарах, размере, цвете, способе оплаты и доставки;</w:t>
      </w:r>
    </w:p>
    <w:p>
      <w:pPr>
        <w:pStyle w:val="ListBullet"/>
      </w:pPr>
      <w:r>
        <w:t>мерки, параметры фигуры и согласованные характеристики, необходимые для индивидуального изготовления или корректировки;</w:t>
      </w:r>
    </w:p>
    <w:p>
      <w:pPr>
        <w:pStyle w:val="ListBullet"/>
      </w:pPr>
      <w:r>
        <w:t>содержание обращений и переписки, запись телефонного разговора после уведомления;</w:t>
      </w:r>
    </w:p>
    <w:p>
      <w:pPr>
        <w:pStyle w:val="ListBullet"/>
      </w:pPr>
      <w:r>
        <w:t>IP-адрес, cookie-идентификаторы и технические сведения — в случаях и порядке, указанных в Cookie-политике.</w:t>
      </w:r>
    </w:p>
    <w:p>
      <w:r>
        <w:rPr>
          <w:b/>
        </w:rPr>
        <w:t xml:space="preserve">3.2. </w:t>
      </w:r>
      <w:r>
        <w:t>Оператор не получает и не хранит полный номер банковской карты, срок ее действия и код безопасности, если платеж проводится на стороне платежного оператора.</w:t>
      </w:r>
    </w:p>
    <w:p>
      <w:r>
        <w:rPr>
          <w:b/>
        </w:rPr>
        <w:t xml:space="preserve">3.3. </w:t>
      </w:r>
      <w:r>
        <w:t>Субъект не должен указывать специальные категории данных, сведения о здоровье или документы, удостоверяющие личность, если Оператор прямо не запросил их на законном основании.</w:t>
      </w:r>
    </w:p>
    <w:p>
      <w:pPr>
        <w:pStyle w:val="Heading1"/>
      </w:pPr>
      <w:r>
        <w:t>4. Действия с данными и способ обработки</w:t>
      </w:r>
    </w:p>
    <w:p>
      <w:r>
        <w:rPr>
          <w:b/>
        </w:rPr>
        <w:t xml:space="preserve">4.1. </w:t>
      </w:r>
      <w:r>
        <w:t>Разрешаются сбор, запись, систематизация, накопление, хранение, уточнение, извлечение, использование, предоставление доступа, передача уполномоченным исполнителям, обезличивание, блокирование, удаление и уничтожение персональных данных.</w:t>
      </w:r>
    </w:p>
    <w:p>
      <w:r>
        <w:rPr>
          <w:b/>
        </w:rPr>
        <w:t xml:space="preserve">4.2. </w:t>
      </w:r>
      <w:r>
        <w:t>Обработка может быть автоматизированной, неавтоматизированной и смешанной, с передачей по сети Интернет.</w:t>
      </w:r>
    </w:p>
    <w:p>
      <w:r>
        <w:rPr>
          <w:b/>
        </w:rPr>
        <w:t xml:space="preserve">4.3. </w:t>
      </w:r>
      <w:r>
        <w:t>При сборе персональных данных граждан Российской Федерации через Интернет используются базы данных на территории Российской Федерации, кроме предусмотренных законом случаев.</w:t>
      </w:r>
    </w:p>
    <w:p>
      <w:pPr>
        <w:pStyle w:val="Heading1"/>
      </w:pPr>
      <w:r>
        <w:t>5. Лица, привлекаемые к обработке</w:t>
      </w:r>
    </w:p>
    <w:p>
      <w:r>
        <w:rPr>
          <w:b/>
        </w:rPr>
        <w:t xml:space="preserve">5.1. </w:t>
      </w:r>
      <w:r>
        <w:t>Оператор вправе поручить обработку либо предоставить необходимые данные следующим категориям лиц в объеме, необходимом для соответствующей цели: службам доставки и курьерам; платежным операторам, банкам, онлайн-кассе и сервисам рассрочки; провайдерам хостинга, CMS, CRM и программы лояльности; сервисам связи и клиентской поддержки; профессиональным консультантам; государственным органам в предусмотренных законом случаях.</w:t>
      </w:r>
    </w:p>
    <w:p>
      <w:r>
        <w:rPr>
          <w:b/>
        </w:rPr>
        <w:t xml:space="preserve">5.2. </w:t>
      </w:r>
      <w:r>
        <w:t>Конкретный перечень ключевых сервисов публикуется в Политике обработки персональных данных или ее приложении после технической инвентаризации.</w:t>
      </w:r>
    </w:p>
    <w:p>
      <w:pPr>
        <w:pStyle w:val="Heading1"/>
      </w:pPr>
      <w:r>
        <w:t>6. Срок действия и отзыв</w:t>
      </w:r>
    </w:p>
    <w:p>
      <w:r>
        <w:rPr>
          <w:b/>
        </w:rPr>
        <w:t xml:space="preserve">6.1. </w:t>
      </w:r>
      <w:r>
        <w:t>Согласие действует до достижения соответствующей цели, истечения сроков хранения документов, прекращения личного кабинета или участия в программе либо до отзыва, если отсутствует иное законное основание для продолжения обработки.</w:t>
      </w:r>
    </w:p>
    <w:p>
      <w:r>
        <w:rPr>
          <w:b/>
        </w:rPr>
        <w:t xml:space="preserve">6.2. </w:t>
      </w:r>
      <w:r>
        <w:t>Отзыв направляется в свободной форме на masterpeace.showroom@gmail.com или по адресу 125252, г. Москва, ул. 2-я Песчаная, д. 4, кв. 102. В обращении рекомендуется указать ФИО, контакт, использованную форму и требование.</w:t>
      </w:r>
    </w:p>
    <w:p>
      <w:r>
        <w:rPr>
          <w:b/>
        </w:rPr>
        <w:t xml:space="preserve">6.3. </w:t>
      </w:r>
      <w:r>
        <w:t>После отзыва Оператор прекращает обработку на основании согласия и удаляет либо обезличивает данные в установленный законом срок, если сохранение не требуется для исполнения договора, налогового и бухгалтерского учета, рассмотрения требований или защиты прав.</w:t>
      </w:r>
    </w:p>
    <w:p>
      <w:pPr>
        <w:pStyle w:val="Heading1"/>
      </w:pPr>
      <w:r>
        <w:t>7. Подтверждения Субъекта</w:t>
      </w:r>
    </w:p>
    <w:p>
      <w:r>
        <w:rPr>
          <w:b/>
        </w:rPr>
        <w:t xml:space="preserve">7.1. </w:t>
      </w:r>
      <w:r>
        <w:t>Субъект подтверждает, что предоставленные данные принадлежат ему либо он законно уполномочен предоставить данные Получателя и сообщил ему необходимую информацию об обработке.</w:t>
      </w:r>
    </w:p>
    <w:p>
      <w:r>
        <w:rPr>
          <w:b/>
        </w:rPr>
        <w:t xml:space="preserve">7.2. </w:t>
      </w:r>
      <w:r>
        <w:t>Субъект ознакомлен с Политикой обработки персональных данных и понимает цели, состав данных, способы обработки, права и порядок отзыва.</w:t>
      </w:r>
    </w:p>
    <w:p>
      <w:r>
        <w:rPr>
          <w:b/>
        </w:rPr>
        <w:t xml:space="preserve">7.3. </w:t>
      </w:r>
      <w:r>
        <w:t>Отказ предоставить обязательные для конкретного запроса данные может сделать невозможным оформление заказа, доставку, создание аккаунта или ответ на обращение. Необязательные поля могут быть оставлены пустыми.</w:t>
      </w:r>
    </w:p>
    <w:p>
      <w:r>
        <w:br w:type="page"/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Сведения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Данные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Оператор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Индивидуальный предприниматель Линович Евгения Семеновна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ИНН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774392655221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ОГРНИП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310774620000835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Адрес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125252, г. Москва, ул. 2-я Песчаная, д. 4, кв. 102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Бутик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г. Москва, ул. Большая Бронная, д. 8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Email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masterpeace.showroom@gmail.com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Телефон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+7 (916) 794-62-60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Сайт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masterpeace.ru</w:t>
            </w:r>
          </w:p>
        </w:tc>
      </w:tr>
    </w:tbl>
    <w:p>
      <w:pPr>
        <w:pStyle w:val="Heading1"/>
      </w:pPr>
      <w:r>
        <w:t>Приложение 1. Тексты для чекбоксов и форм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Форма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Рекомендуемая подпись под отдельным чекбоксом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Оформление заказа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Я даю отдельное согласие на обработку персональных данных для оформления и исполнения заказа в соответствии с Согласием и Политикой обработки персональных данных.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Обратная связь / подбор размера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Я даю согласие на обработку указанных персональных данных для ответа на обращение, консультации и подбора размера.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Запись на примерку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Я даю согласие на обработку персональных данных для записи на примерку, бронирования товаров и связи со мной.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Личный кабинет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Я даю согласие на обработку персональных данных для создания и использования личного кабинета.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Программа лояльности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Я даю согласие на обработку персональных данных для регистрации и участия в программе лояльности.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Уведомление о поступлении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Я даю согласие на обработку email/телефона для однократного уведомления о поступлении выбранного товара. Рекламные сообщения требуют отдельного согласия.</w:t>
            </w:r>
          </w:p>
        </w:tc>
      </w:tr>
    </w:tbl>
    <w:p>
      <w:pPr>
        <w:pStyle w:val="Note"/>
      </w:pPr>
      <w:r>
        <w:t>Требования к реализации: чекбокс не отмечен заранее; рядом есть активная ссылка на полный текст Согласия; система сохраняет текст редакции, дату, время, IP/идентификатор сессии, форму и результат действия пользователя.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247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 xml:space="preserve">masterpeace.ru  ·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787878"/>
        <w:sz w:val="16"/>
      </w:rPr>
      <w:t>MASTERPEACE · Согласие на обработку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3333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1B1B1B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80"/>
    </w:pPr>
    <w:rPr>
      <w:rFonts w:asciiTheme="majorHAnsi" w:eastAsiaTheme="majorEastAsia" w:hAnsiTheme="majorHAnsi" w:cstheme="majorBidi" w:ascii="Arial" w:hAnsi="Arial" w:eastAsia="Arial"/>
      <w:b w:val="0"/>
      <w:i/>
      <w:iCs/>
      <w:color w:val="6666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80"/>
    </w:pPr>
    <w:rPr>
      <w:rFonts w:ascii="Arial" w:hAnsi="Arial" w:eastAsia="Arial"/>
      <w:color w:val="646464"/>
      <w:sz w:val="16"/>
    </w:rPr>
  </w:style>
  <w:style w:type="paragraph" w:customStyle="1" w:styleId="Box">
    <w:name w:val="Box"/>
    <w:pPr>
      <w:spacing w:before="80" w:after="100"/>
      <w:ind w:left="283" w:right="283"/>
    </w:pPr>
    <w:rPr>
      <w:rFonts w:ascii="Arial" w:hAnsi="Arial" w:eastAsia="Arial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MASTERPEACE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